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6" w:tblpY="1636"/>
        <w:tblW w:w="1359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668"/>
        <w:gridCol w:w="2553"/>
        <w:gridCol w:w="2553"/>
        <w:gridCol w:w="2553"/>
        <w:gridCol w:w="2553"/>
      </w:tblGrid>
      <w:tr w:rsidR="00565E3C" w:rsidRPr="00565E3C" w:rsidTr="00565E3C">
        <w:trPr>
          <w:tblHeader/>
          <w:tblCellSpacing w:w="0" w:type="dxa"/>
        </w:trPr>
        <w:tc>
          <w:tcPr>
            <w:tcW w:w="1710" w:type="dxa"/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</w:rPr>
            </w:pPr>
            <w:bookmarkStart w:id="0" w:name="_GoBack"/>
            <w:bookmarkEnd w:id="0"/>
            <w:r w:rsidRPr="00565E3C">
              <w:rPr>
                <w:rFonts w:ascii="inherit" w:eastAsia="Times New Roman" w:hAnsi="inherit"/>
              </w:rPr>
              <w:t> </w:t>
            </w:r>
          </w:p>
        </w:tc>
        <w:tc>
          <w:tcPr>
            <w:tcW w:w="11880" w:type="dxa"/>
            <w:gridSpan w:val="5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</w:rPr>
              <w:t>Levels of Achievement</w:t>
            </w:r>
          </w:p>
        </w:tc>
      </w:tr>
      <w:tr w:rsidR="00565E3C" w:rsidRPr="00565E3C" w:rsidTr="00565E3C">
        <w:trPr>
          <w:tblHeader/>
          <w:tblCellSpacing w:w="0" w:type="dxa"/>
        </w:trPr>
        <w:tc>
          <w:tcPr>
            <w:tcW w:w="1710" w:type="dxa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</w:rPr>
              <w:t>Criteria</w:t>
            </w:r>
          </w:p>
        </w:tc>
        <w:tc>
          <w:tcPr>
            <w:tcW w:w="1668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Unsatisfactory</w:t>
            </w:r>
          </w:p>
        </w:tc>
        <w:tc>
          <w:tcPr>
            <w:tcW w:w="2553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Marginal</w:t>
            </w:r>
          </w:p>
        </w:tc>
        <w:tc>
          <w:tcPr>
            <w:tcW w:w="2553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Satisfactory</w:t>
            </w:r>
          </w:p>
        </w:tc>
        <w:tc>
          <w:tcPr>
            <w:tcW w:w="2553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Good</w:t>
            </w:r>
          </w:p>
        </w:tc>
        <w:tc>
          <w:tcPr>
            <w:tcW w:w="2553" w:type="dxa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Distinguished</w:t>
            </w:r>
          </w:p>
        </w:tc>
      </w:tr>
      <w:tr w:rsidR="00565E3C" w:rsidRPr="00565E3C" w:rsidTr="00565E3C">
        <w:trPr>
          <w:tblCellSpacing w:w="0" w:type="dxa"/>
        </w:trPr>
        <w:tc>
          <w:tcPr>
            <w:tcW w:w="171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Participation in Discussion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0 to 12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Does not enter discussion.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13 to 14.6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Provides minimal comments and information to other participants. Participates infrequently in on-line discussions or e-mail; postings are irrelevant or superficial.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14.8 to 16.4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Sporadically provides comments and some new information. Interacts with only one or two participants by posting queries, comments, and thoughtful responses.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16.6 to 18.2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Provides comments and some new information in a fairly regular manner. Interacts with a few selected participants by posting queries, comments, and thoughtful responses.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tabs>
                <w:tab w:val="left" w:pos="1200"/>
              </w:tabs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18.4 to 20 points</w:t>
            </w: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ab/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Provides comments and new information in a regular and equitable manner. Interacts with a variety of participants by posting queries, comments, and thoughtful responses.</w:t>
            </w:r>
          </w:p>
        </w:tc>
      </w:tr>
      <w:tr w:rsidR="00565E3C" w:rsidRPr="00565E3C" w:rsidTr="00565E3C">
        <w:trPr>
          <w:tblCellSpacing w:w="0" w:type="dxa"/>
        </w:trPr>
        <w:tc>
          <w:tcPr>
            <w:tcW w:w="171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Content of Posting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0 to 12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Does not add to the discussion.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13 to 14.6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Adds little to the substantive discussion but may contribute to the social aspects of the course.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14.8 to 16.4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Postings consist largely of personal opinions or experiences. Reveals a restricted understanding of the topic limited to information that could be derived from prior posts.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16.6 to 18.2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Makes significant contributions to the discussion. Reveals adequate understanding of the topic as evidenced by posts telling us something new.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18.4 to 20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Postings are accurate, original, and relevant. Even better than telling us something new, they raise new questions that lead to further discussion from a variety of people. Reveals a solid understanding of the topic as evidenced by thoughtful responses and questions.</w:t>
            </w:r>
          </w:p>
        </w:tc>
      </w:tr>
      <w:tr w:rsidR="00565E3C" w:rsidRPr="00565E3C" w:rsidTr="00565E3C">
        <w:trPr>
          <w:tblCellSpacing w:w="0" w:type="dxa"/>
        </w:trPr>
        <w:tc>
          <w:tcPr>
            <w:tcW w:w="171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lastRenderedPageBreak/>
              <w:t>Critical Thinking evidenced by Posting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0 to 12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Does not enter posting.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13 to 14.6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Provides no evidence of agreement or disagreement with existing discussion.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14.8 to 16.4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Agrees or disagrees with existing discussion but provides no justification/explanation (e.g., text readings, resources).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16.6 to 18.2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Agrees or disagrees with existing discussion and provides limited justification/explanation (e.g., text readings, resources).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18.4 to 20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Offers a critical analysis of an existing posted idea or introduces a different interpretation to an existing idea.</w:t>
            </w:r>
          </w:p>
        </w:tc>
      </w:tr>
      <w:tr w:rsidR="00565E3C" w:rsidRPr="00565E3C" w:rsidTr="00565E3C">
        <w:trPr>
          <w:tblCellSpacing w:w="0" w:type="dxa"/>
        </w:trPr>
        <w:tc>
          <w:tcPr>
            <w:tcW w:w="171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Responsiveness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0 to 12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Does not respond.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13 to 14.6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Responds to posted discussion on only one (1) occasion but does not create own comment.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14.8 to 16.4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Responds to posted discussion on only one (1) occasion during the week. Posts own comment.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16.6 to 18.2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Responds to posted discussion on two (2) separate occasions during the week. Posts own comment.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18.4 to 20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Responds to posted discussion on multiple separate occasions during the week. Post own comment and frequently responds to other posted discussions.</w:t>
            </w:r>
          </w:p>
        </w:tc>
      </w:tr>
      <w:tr w:rsidR="00565E3C" w:rsidRPr="00565E3C" w:rsidTr="00565E3C">
        <w:trPr>
          <w:tblCellSpacing w:w="0" w:type="dxa"/>
        </w:trPr>
        <w:tc>
          <w:tcPr>
            <w:tcW w:w="1710" w:type="dxa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5586F"/>
                <w:bdr w:val="none" w:sz="0" w:space="0" w:color="auto" w:frame="1"/>
              </w:rPr>
              <w:t>Writing Style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0 to 12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Does not write response.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13 to 14.6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Limited ability to convey ideas noted. Below expectations of work at this level. Errors noted in spelling, punctuation, and grammar.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14.8 to 16.4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Able to present ideas. Comes close to expectations for work at this level. Some punctuation and spelling errors but no errors in grammar identified.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16.6 to 18.2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Explicitly presents ideas. Work appropriate for this level of student. No spelling or grammar errors noted. A few minor punctuation errors identified.</w:t>
            </w:r>
          </w:p>
        </w:tc>
        <w:tc>
          <w:tcPr>
            <w:tcW w:w="2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b/>
                <w:bCs/>
                <w:color w:val="444444"/>
                <w:bdr w:val="none" w:sz="0" w:space="0" w:color="auto" w:frame="1"/>
              </w:rPr>
              <w:t>18.4 to 20 points</w:t>
            </w:r>
          </w:p>
          <w:p w:rsidR="00565E3C" w:rsidRPr="00565E3C" w:rsidRDefault="00565E3C" w:rsidP="00565E3C">
            <w:pPr>
              <w:spacing w:after="0" w:line="240" w:lineRule="auto"/>
              <w:rPr>
                <w:rFonts w:ascii="inherit" w:eastAsia="Times New Roman" w:hAnsi="inherit"/>
                <w:color w:val="444444"/>
              </w:rPr>
            </w:pPr>
            <w:r w:rsidRPr="00565E3C">
              <w:rPr>
                <w:rFonts w:ascii="inherit" w:eastAsia="Times New Roman" w:hAnsi="inherit"/>
                <w:color w:val="444444"/>
              </w:rPr>
              <w:t>Highly skilled presentation of ideas. Engages reading. Work exceeds expectations for this level of student. Absolutely no errors in spelling, punctuation, or grammar noted.</w:t>
            </w:r>
          </w:p>
        </w:tc>
      </w:tr>
    </w:tbl>
    <w:p w:rsidR="000C56E1" w:rsidRPr="00565E3C" w:rsidRDefault="000C56E1"/>
    <w:sectPr w:rsidR="000C56E1" w:rsidRPr="00565E3C" w:rsidSect="00565E3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FE" w:rsidRDefault="006232FE" w:rsidP="00565E3C">
      <w:pPr>
        <w:spacing w:after="0" w:line="240" w:lineRule="auto"/>
      </w:pPr>
      <w:r>
        <w:separator/>
      </w:r>
    </w:p>
  </w:endnote>
  <w:endnote w:type="continuationSeparator" w:id="0">
    <w:p w:rsidR="006232FE" w:rsidRDefault="006232FE" w:rsidP="0056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FE" w:rsidRDefault="006232FE" w:rsidP="00565E3C">
      <w:pPr>
        <w:spacing w:after="0" w:line="240" w:lineRule="auto"/>
      </w:pPr>
      <w:r>
        <w:separator/>
      </w:r>
    </w:p>
  </w:footnote>
  <w:footnote w:type="continuationSeparator" w:id="0">
    <w:p w:rsidR="006232FE" w:rsidRDefault="006232FE" w:rsidP="0056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3C" w:rsidRDefault="00565E3C" w:rsidP="00565E3C">
    <w:r w:rsidRPr="00565E3C">
      <w:t>Discussion Board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3C"/>
    <w:rsid w:val="00007701"/>
    <w:rsid w:val="000C56E1"/>
    <w:rsid w:val="00565E3C"/>
    <w:rsid w:val="006232FE"/>
    <w:rsid w:val="009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9FAB-65AC-4992-BC17-3B62501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E90"/>
    <w:pPr>
      <w:keepNext/>
      <w:keepLines/>
      <w:spacing w:before="120" w:after="0" w:line="240" w:lineRule="auto"/>
      <w:outlineLvl w:val="0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link w:val="Heading3Char"/>
    <w:uiPriority w:val="9"/>
    <w:qFormat/>
    <w:rsid w:val="0056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E90"/>
    <w:rPr>
      <w:rFonts w:eastAsiaTheme="majorEastAsia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5E3C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65E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3C"/>
  </w:style>
  <w:style w:type="paragraph" w:styleId="Footer">
    <w:name w:val="footer"/>
    <w:basedOn w:val="Normal"/>
    <w:link w:val="FooterChar"/>
    <w:uiPriority w:val="99"/>
    <w:unhideWhenUsed/>
    <w:rsid w:val="0056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7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0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Stephen C. (OL &amp; Ed Tech)</dc:creator>
  <cp:keywords/>
  <dc:description/>
  <cp:lastModifiedBy>Scheib, Stephen C. (OL &amp; Ed Tech)</cp:lastModifiedBy>
  <cp:revision>2</cp:revision>
  <dcterms:created xsi:type="dcterms:W3CDTF">2016-11-18T15:32:00Z</dcterms:created>
  <dcterms:modified xsi:type="dcterms:W3CDTF">2016-11-18T15:32:00Z</dcterms:modified>
</cp:coreProperties>
</file>